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307"/>
      </w:tblGrid>
      <w:tr w:rsidR="00AF4F78" w:rsidTr="00AF4F78">
        <w:tc>
          <w:tcPr>
            <w:tcW w:w="1384" w:type="dxa"/>
            <w:vAlign w:val="center"/>
          </w:tcPr>
          <w:p w:rsidR="00AF4F78" w:rsidRDefault="00590190" w:rsidP="00590190">
            <w:pPr>
              <w:spacing w:line="276" w:lineRule="auto"/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>
                  <wp:extent cx="638175" cy="7059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904 NCBJ-logo-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Narodowe Centrum Badań Jądrowych</w:t>
            </w:r>
          </w:p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Dział Edukacji i Szkoleń</w:t>
            </w:r>
          </w:p>
          <w:p w:rsidR="00AF4F78" w:rsidRP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ul. Andrzeja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Sołtana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 7, 05-400 Otwock-Świerk</w:t>
            </w:r>
          </w:p>
        </w:tc>
        <w:tc>
          <w:tcPr>
            <w:tcW w:w="1307" w:type="dxa"/>
            <w:vAlign w:val="center"/>
          </w:tcPr>
          <w:p w:rsidR="00AF4F78" w:rsidRDefault="00AF4F78" w:rsidP="00590190">
            <w:pPr>
              <w:spacing w:line="276" w:lineRule="auto"/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BDB15C6" wp14:editId="3EDF2053">
                  <wp:extent cx="525145" cy="611505"/>
                  <wp:effectExtent l="0" t="0" r="8255" b="0"/>
                  <wp:docPr id="40" name="Obraz 40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10E7F05D" wp14:editId="2CFCDBF4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9" name="Obraz 39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1312" behindDoc="0" locked="0" layoutInCell="1" allowOverlap="1" wp14:anchorId="7B8EF402" wp14:editId="3633DECC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8" name="Obraz 38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F78" w:rsidRDefault="00AF4F78" w:rsidP="00590190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4"/>
        <w:gridCol w:w="8098"/>
      </w:tblGrid>
      <w:tr w:rsidR="00E3360A" w:rsidTr="00E3360A">
        <w:tc>
          <w:tcPr>
            <w:tcW w:w="1114" w:type="dxa"/>
            <w:vAlign w:val="center"/>
          </w:tcPr>
          <w:p w:rsidR="00E3360A" w:rsidRPr="00E3360A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E3360A">
              <w:rPr>
                <w:rFonts w:ascii="Arial" w:hAnsi="Arial" w:cs="Arial"/>
                <w:color w:val="000099"/>
                <w:sz w:val="16"/>
                <w:szCs w:val="16"/>
              </w:rPr>
              <w:t>ĆWICZENIE</w:t>
            </w:r>
          </w:p>
          <w:p w:rsidR="00E3360A" w:rsidRPr="00E3360A" w:rsidRDefault="00A11E0B" w:rsidP="00A11E0B">
            <w:pPr>
              <w:spacing w:before="120" w:after="120"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color w:val="000099"/>
                <w:sz w:val="48"/>
                <w:szCs w:val="48"/>
              </w:rPr>
              <w:t>13e</w:t>
            </w:r>
            <w:proofErr w:type="spellEnd"/>
          </w:p>
        </w:tc>
        <w:tc>
          <w:tcPr>
            <w:tcW w:w="8098" w:type="dxa"/>
          </w:tcPr>
          <w:p w:rsidR="00E3360A" w:rsidRPr="00D83B52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</w:pPr>
            <w:r w:rsidRPr="00D83B52"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  <w:t>LABORATORIUM FIZYKI ATOMOWEJ I JĄDROWEJ</w:t>
            </w:r>
          </w:p>
          <w:p w:rsidR="00D83B52" w:rsidRPr="00D83B52" w:rsidRDefault="00A11E0B" w:rsidP="0090335A">
            <w:pPr>
              <w:spacing w:after="120" w:line="276" w:lineRule="auto"/>
              <w:jc w:val="center"/>
              <w:rPr>
                <w:rFonts w:ascii="Arial" w:hAnsi="Arial" w:cs="Arial"/>
                <w:color w:val="CC0000"/>
                <w:sz w:val="32"/>
                <w:szCs w:val="32"/>
              </w:rPr>
            </w:pPr>
            <w:r w:rsidRPr="00A11E0B">
              <w:rPr>
                <w:rFonts w:ascii="Arial" w:hAnsi="Arial" w:cs="Arial"/>
                <w:color w:val="CC0000"/>
                <w:sz w:val="32"/>
                <w:szCs w:val="32"/>
              </w:rPr>
              <w:t>Przechodzenie promieniowania X przez materię</w:t>
            </w:r>
          </w:p>
        </w:tc>
      </w:tr>
    </w:tbl>
    <w:p w:rsidR="00D83B52" w:rsidRDefault="00D83B52" w:rsidP="00133525">
      <w:pPr>
        <w:spacing w:line="276" w:lineRule="auto"/>
        <w:jc w:val="both"/>
      </w:pPr>
    </w:p>
    <w:p w:rsidR="00254E91" w:rsidRDefault="00E20392" w:rsidP="00133525">
      <w:pPr>
        <w:pStyle w:val="Nagwek1"/>
        <w:spacing w:line="276" w:lineRule="auto"/>
        <w:jc w:val="both"/>
      </w:pPr>
      <w:r>
        <w:t>1. Cel ćwiczenia</w:t>
      </w:r>
    </w:p>
    <w:p w:rsidR="00E20392" w:rsidRDefault="00A11E0B" w:rsidP="00133525">
      <w:pPr>
        <w:spacing w:line="276" w:lineRule="auto"/>
        <w:ind w:firstLine="567"/>
        <w:jc w:val="both"/>
      </w:pPr>
      <w:r w:rsidRPr="00A11E0B">
        <w:t xml:space="preserve">Celem ćwiczenia jest </w:t>
      </w:r>
      <w:r>
        <w:t xml:space="preserve">zbadanie </w:t>
      </w:r>
      <w:r w:rsidRPr="00A11E0B">
        <w:t xml:space="preserve">absorpcji promieniowania X z molibdenowej lampy rentgenowskiej w funkcji liczby atomowej absorbentu </w:t>
      </w:r>
      <w:r>
        <w:t>przy</w:t>
      </w:r>
      <w:r w:rsidRPr="00A11E0B">
        <w:t xml:space="preserve"> ustalonej długości fali </w:t>
      </w:r>
      <w:r>
        <w:t>(pomijając zjawisko krawędzi absorpcji)</w:t>
      </w:r>
      <w:r w:rsidR="00BA02C0">
        <w:t>.</w:t>
      </w:r>
    </w:p>
    <w:p w:rsidR="00E20392" w:rsidRDefault="00A11E0B" w:rsidP="00133525">
      <w:pPr>
        <w:pStyle w:val="Nagwek1"/>
        <w:spacing w:line="276" w:lineRule="auto"/>
        <w:jc w:val="both"/>
      </w:pPr>
      <w:r>
        <w:t>2</w:t>
      </w:r>
      <w:r w:rsidR="00E20392">
        <w:t>. Wstęp teoretyczny</w:t>
      </w:r>
    </w:p>
    <w:p w:rsidR="00E20392" w:rsidRDefault="00E20392" w:rsidP="00133525">
      <w:pPr>
        <w:pStyle w:val="Nagwek2"/>
        <w:spacing w:line="276" w:lineRule="auto"/>
        <w:jc w:val="both"/>
      </w:pPr>
      <w:r>
        <w:t xml:space="preserve">1. </w:t>
      </w:r>
      <w:r w:rsidR="00D036C1">
        <w:t>Opis zjawiska</w:t>
      </w:r>
    </w:p>
    <w:p w:rsidR="00661EC0" w:rsidRDefault="00A11E0B" w:rsidP="00133525">
      <w:pPr>
        <w:spacing w:line="276" w:lineRule="auto"/>
        <w:ind w:firstLine="567"/>
        <w:jc w:val="both"/>
      </w:pPr>
      <w:r>
        <w:t>Promieniowanie</w:t>
      </w:r>
      <w:r w:rsidR="00250831">
        <w:t xml:space="preserve"> X i γ</w:t>
      </w:r>
      <w:r>
        <w:t>, przechodząc przez materię, może ulec dwóm zjawiskom: absorpcji i rozproszeniu</w:t>
      </w:r>
      <w:r w:rsidR="00064A59">
        <w:t>.</w:t>
      </w:r>
      <w:r>
        <w:t xml:space="preserve"> Oba te zjawiska wpływają na to, że przez </w:t>
      </w:r>
      <w:r w:rsidR="00A0367C">
        <w:t xml:space="preserve">pochłaniacz </w:t>
      </w:r>
      <w:r>
        <w:t xml:space="preserve">o określonej grubości przechodzi dalej bez zmiany kierunku tylko określony odsetek promieniowania. Opisuje to zależność wykładnicza zwana </w:t>
      </w:r>
      <w:r w:rsidRPr="00A11E0B">
        <w:rPr>
          <w:i/>
        </w:rPr>
        <w:t>prawem Lamberta</w:t>
      </w:r>
      <w:r>
        <w:t xml:space="preserve"> i opisana równaniem: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A0367C" w:rsidTr="00456284">
        <w:trPr>
          <w:jc w:val="center"/>
        </w:trPr>
        <w:tc>
          <w:tcPr>
            <w:tcW w:w="8330" w:type="dxa"/>
          </w:tcPr>
          <w:p w:rsidR="00A0367C" w:rsidRPr="00A24DEE" w:rsidRDefault="00A0367C" w:rsidP="00102F62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R=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-μd</m:t>
                    </m:r>
                  </m:sup>
                </m:sSup>
              </m:oMath>
            </m:oMathPara>
          </w:p>
        </w:tc>
        <w:tc>
          <w:tcPr>
            <w:tcW w:w="882" w:type="dxa"/>
            <w:vAlign w:val="center"/>
          </w:tcPr>
          <w:p w:rsidR="00A0367C" w:rsidRDefault="00A0367C" w:rsidP="00456284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(1)</w:t>
            </w:r>
          </w:p>
        </w:tc>
      </w:tr>
    </w:tbl>
    <w:p w:rsidR="00A0367C" w:rsidRDefault="00A0367C" w:rsidP="00A0367C">
      <w:pPr>
        <w:spacing w:line="276" w:lineRule="auto"/>
        <w:jc w:val="both"/>
        <w:rPr>
          <w:szCs w:val="22"/>
          <w14:ligatures w14:val="none"/>
        </w:rPr>
      </w:pPr>
      <w:r>
        <w:t xml:space="preserve">gdzie </w:t>
      </w:r>
      <w:r w:rsidRPr="00A0367C">
        <w:rPr>
          <w:i/>
        </w:rPr>
        <w:t>R</w:t>
      </w:r>
      <w:r>
        <w:t xml:space="preserve"> i </w:t>
      </w:r>
      <w:proofErr w:type="spellStart"/>
      <w:r w:rsidRPr="00A0367C">
        <w:rPr>
          <w:i/>
        </w:rPr>
        <w:t>R</w:t>
      </w:r>
      <w:r w:rsidRPr="00A0367C">
        <w:rPr>
          <w:i/>
          <w:vertAlign w:val="subscript"/>
        </w:rPr>
        <w:t>0</w:t>
      </w:r>
      <w:proofErr w:type="spellEnd"/>
      <w:r>
        <w:t xml:space="preserve"> oznaczają </w:t>
      </w:r>
      <w:r>
        <w:rPr>
          <w:szCs w:val="22"/>
          <w14:ligatures w14:val="none"/>
        </w:rPr>
        <w:t xml:space="preserve">natężenie przechodzące przez pochłaniacz oraz natężenie bez pochłaniacza, </w:t>
      </w:r>
      <w:r w:rsidR="00102F62">
        <w:rPr>
          <w:i/>
          <w:szCs w:val="22"/>
          <w14:ligatures w14:val="none"/>
        </w:rPr>
        <w:t>d</w:t>
      </w:r>
      <w:r w:rsidR="00A15BC9">
        <w:rPr>
          <w:szCs w:val="22"/>
          <w14:ligatures w14:val="none"/>
        </w:rPr>
        <w:t xml:space="preserve"> jest grubością pochłaniacza, </w:t>
      </w:r>
      <w:r>
        <w:rPr>
          <w:szCs w:val="22"/>
          <w14:ligatures w14:val="none"/>
        </w:rPr>
        <w:t xml:space="preserve">natomiast </w:t>
      </w:r>
      <w:r w:rsidRPr="00A15BC9">
        <w:rPr>
          <w:i/>
          <w:szCs w:val="22"/>
          <w14:ligatures w14:val="none"/>
        </w:rPr>
        <w:t>μ</w:t>
      </w:r>
      <w:r>
        <w:rPr>
          <w:szCs w:val="22"/>
          <w14:ligatures w14:val="none"/>
        </w:rPr>
        <w:t xml:space="preserve"> </w:t>
      </w:r>
      <w:r w:rsidR="00A15BC9">
        <w:rPr>
          <w:szCs w:val="22"/>
          <w14:ligatures w14:val="none"/>
        </w:rPr>
        <w:t xml:space="preserve">to tzw. </w:t>
      </w:r>
      <w:r w:rsidR="00A15BC9" w:rsidRPr="0055141C">
        <w:rPr>
          <w:i/>
          <w:szCs w:val="22"/>
          <w14:ligatures w14:val="none"/>
        </w:rPr>
        <w:t>liniowy współczynnik pochłaniania</w:t>
      </w:r>
      <w:r w:rsidR="00A15BC9">
        <w:rPr>
          <w:szCs w:val="22"/>
          <w14:ligatures w14:val="none"/>
        </w:rPr>
        <w:t>, charakter</w:t>
      </w:r>
      <w:r w:rsidR="0055141C">
        <w:rPr>
          <w:szCs w:val="22"/>
          <w14:ligatures w14:val="none"/>
        </w:rPr>
        <w:t>ystyczny dla danego materiału. M</w:t>
      </w:r>
      <w:r w:rsidR="00A15BC9">
        <w:rPr>
          <w:szCs w:val="22"/>
          <w14:ligatures w14:val="none"/>
        </w:rPr>
        <w:t xml:space="preserve">ożna go przedstawić jako </w:t>
      </w:r>
      <w:r w:rsidR="0055141C">
        <w:rPr>
          <w:szCs w:val="22"/>
          <w14:ligatures w14:val="none"/>
        </w:rPr>
        <w:t xml:space="preserve">sumę współczynnika </w:t>
      </w:r>
      <w:r w:rsidR="0055141C" w:rsidRPr="0055141C">
        <w:rPr>
          <w:i/>
          <w:szCs w:val="22"/>
          <w14:ligatures w14:val="none"/>
        </w:rPr>
        <w:t>τ</w:t>
      </w:r>
      <w:r w:rsidR="0055141C">
        <w:rPr>
          <w:szCs w:val="22"/>
          <w14:ligatures w14:val="none"/>
        </w:rPr>
        <w:t xml:space="preserve">, opisującego absorpcję, oraz współczynnika </w:t>
      </w:r>
      <w:r w:rsidR="0055141C" w:rsidRPr="0055141C">
        <w:rPr>
          <w:i/>
          <w:szCs w:val="22"/>
          <w14:ligatures w14:val="none"/>
        </w:rPr>
        <w:t>σ</w:t>
      </w:r>
      <w:r w:rsidR="0055141C">
        <w:rPr>
          <w:szCs w:val="22"/>
          <w14:ligatures w14:val="none"/>
        </w:rPr>
        <w:t>, opisującego rozpraszanie</w:t>
      </w:r>
      <w:r w:rsidR="0055141C" w:rsidRPr="0055141C">
        <w:rPr>
          <w:szCs w:val="22"/>
          <w14:ligatures w14:val="none"/>
        </w:rPr>
        <w:t xml:space="preserve"> </w:t>
      </w:r>
      <w:r w:rsidR="0055141C">
        <w:rPr>
          <w:szCs w:val="22"/>
          <w14:ligatures w14:val="none"/>
        </w:rPr>
        <w:t>promieniowania.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102F62" w:rsidTr="008B286A">
        <w:trPr>
          <w:jc w:val="center"/>
        </w:trPr>
        <w:tc>
          <w:tcPr>
            <w:tcW w:w="8330" w:type="dxa"/>
          </w:tcPr>
          <w:p w:rsidR="00102F62" w:rsidRPr="00A24DEE" w:rsidRDefault="00102F62" w:rsidP="008F31B3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μ=-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ln</m:t>
                        </m:r>
                      </m:fName>
                      <m:e>
                        <m:box>
                          <m:boxPr>
                            <m:ctrlPr>
                              <w:rPr>
                                <w:rFonts w:ascii="Cambria Math" w:hAnsi="Cambria Math" w:cstheme="minorHAnsi"/>
                                <w:i/>
                                <w:sz w:val="22"/>
                                <w:szCs w:val="22"/>
                                <w14:ligatures w14:val="none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22"/>
                                    <w:szCs w:val="22"/>
                                    <w14:ligatures w14:val="none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sz w:val="22"/>
                                    <w:szCs w:val="22"/>
                                    <w14:ligatures w14:val="none"/>
                                  </w:rPr>
                                  <m:t>R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sz w:val="22"/>
                                        <w:szCs w:val="22"/>
                                        <w14:ligatures w14:val="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  <w:sz w:val="22"/>
                                        <w:szCs w:val="22"/>
                                        <w14:ligatures w14:val="none"/>
                                      </w:rPr>
                                      <m:t>0</m:t>
                                    </m:r>
                                  </m:sub>
                                </m:sSub>
                              </m:den>
                            </m:f>
                          </m:e>
                        </m:box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d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 τ+ σ</m:t>
                </m:r>
              </m:oMath>
            </m:oMathPara>
          </w:p>
        </w:tc>
        <w:tc>
          <w:tcPr>
            <w:tcW w:w="882" w:type="dxa"/>
            <w:vAlign w:val="center"/>
          </w:tcPr>
          <w:p w:rsidR="00102F62" w:rsidRDefault="00102F62" w:rsidP="008B286A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(2)</w:t>
            </w:r>
          </w:p>
        </w:tc>
      </w:tr>
    </w:tbl>
    <w:p w:rsidR="0055141C" w:rsidRDefault="00102F62" w:rsidP="00102F62">
      <w:pPr>
        <w:spacing w:line="276" w:lineRule="auto"/>
        <w:ind w:firstLine="567"/>
        <w:jc w:val="both"/>
      </w:pPr>
      <w:r>
        <w:t xml:space="preserve">Analogicznie można zdefiniować </w:t>
      </w:r>
      <w:r w:rsidRPr="00102F62">
        <w:rPr>
          <w:i/>
        </w:rPr>
        <w:t>atomowy współczynnik pochłaniania</w:t>
      </w:r>
      <w:r>
        <w:t xml:space="preserve">, </w:t>
      </w:r>
      <w:proofErr w:type="spellStart"/>
      <w:r w:rsidRPr="00A15BC9">
        <w:rPr>
          <w:i/>
          <w:szCs w:val="22"/>
          <w14:ligatures w14:val="none"/>
        </w:rPr>
        <w:t>μ</w:t>
      </w:r>
      <w:r w:rsidRPr="00102F62">
        <w:rPr>
          <w:i/>
          <w:szCs w:val="22"/>
          <w:vertAlign w:val="subscript"/>
          <w14:ligatures w14:val="none"/>
        </w:rPr>
        <w:t>a</w:t>
      </w:r>
      <w:proofErr w:type="spellEnd"/>
      <w:r>
        <w:rPr>
          <w:szCs w:val="22"/>
          <w14:ligatures w14:val="none"/>
        </w:rPr>
        <w:t xml:space="preserve">, </w:t>
      </w:r>
      <w:r>
        <w:t>który opisuje te same właściwości pochłaniacza, ale w odniesieniu do pojedynczego atomu, a nie warstwy pochłaniacza o określonej grubości. Pomiędzy liniowymi a atomowymi wspó</w:t>
      </w:r>
      <w:r w:rsidR="008569FE">
        <w:t>łczynnikami istnieją następujące zależności</w:t>
      </w:r>
      <w:r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835"/>
        <w:gridCol w:w="675"/>
      </w:tblGrid>
      <w:tr w:rsidR="008569FE" w:rsidTr="008569FE">
        <w:trPr>
          <w:jc w:val="center"/>
        </w:trPr>
        <w:tc>
          <w:tcPr>
            <w:tcW w:w="2943" w:type="dxa"/>
          </w:tcPr>
          <w:p w:rsidR="008569FE" w:rsidRDefault="00C50D9B" w:rsidP="008569FE">
            <w:pPr>
              <w:pStyle w:val="Tytu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=μ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ρN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835" w:type="dxa"/>
          </w:tcPr>
          <w:p w:rsidR="008569FE" w:rsidRDefault="00C50D9B" w:rsidP="008569FE">
            <w:pPr>
              <w:pStyle w:val="Tytu"/>
              <w:spacing w:before="120" w:after="120"/>
              <w:rPr>
                <w:rFonts w:ascii="Times New Roman" w:hAnsi="Times New Roman" w:cs="Times New Roman"/>
                <w:bCs/>
                <w:sz w:val="22"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=τ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ρ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835" w:type="dxa"/>
          </w:tcPr>
          <w:p w:rsidR="008569FE" w:rsidRPr="00C62A6B" w:rsidRDefault="00C50D9B" w:rsidP="008569FE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=σ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ρ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675" w:type="dxa"/>
            <w:vAlign w:val="center"/>
          </w:tcPr>
          <w:p w:rsidR="008569FE" w:rsidRDefault="008569FE" w:rsidP="008B286A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(3)</w:t>
            </w:r>
          </w:p>
        </w:tc>
      </w:tr>
    </w:tbl>
    <w:p w:rsidR="00102F62" w:rsidRDefault="001F4CA0" w:rsidP="00692737">
      <w:pPr>
        <w:spacing w:line="276" w:lineRule="auto"/>
        <w:jc w:val="both"/>
      </w:pPr>
      <w:r>
        <w:t xml:space="preserve">gdzie </w:t>
      </w:r>
      <w:r w:rsidRPr="001F4CA0">
        <w:rPr>
          <w:i/>
        </w:rPr>
        <w:t>ρ</w:t>
      </w:r>
      <w:r>
        <w:t xml:space="preserve"> to gęstość materiału pochłaniacza, </w:t>
      </w:r>
      <w:r w:rsidRPr="001F4CA0">
        <w:rPr>
          <w:i/>
        </w:rPr>
        <w:t>A</w:t>
      </w:r>
      <w:r>
        <w:t xml:space="preserve"> to średnia mas</w:t>
      </w:r>
      <w:r w:rsidR="00692737">
        <w:t>a atomo</w:t>
      </w:r>
      <w:r>
        <w:t>w</w:t>
      </w:r>
      <w:r w:rsidR="00692737">
        <w:t>a</w:t>
      </w:r>
      <w:r>
        <w:t xml:space="preserve"> danego pochłaniacza, zaś </w:t>
      </w:r>
      <w:r w:rsidRPr="001F4CA0">
        <w:rPr>
          <w:i/>
        </w:rPr>
        <w:t>N</w:t>
      </w:r>
      <w:r w:rsidRPr="001F4CA0">
        <w:rPr>
          <w:i/>
          <w:vertAlign w:val="subscript"/>
        </w:rPr>
        <w:t>A</w:t>
      </w:r>
      <w:r>
        <w:t xml:space="preserve"> to liczba Avogadro równa 6,022·10</w:t>
      </w:r>
      <w:r w:rsidRPr="001F4CA0">
        <w:rPr>
          <w:vertAlign w:val="superscript"/>
        </w:rPr>
        <w:t>23</w:t>
      </w:r>
      <w:r>
        <w:t xml:space="preserve"> atomów/mol.</w:t>
      </w:r>
    </w:p>
    <w:p w:rsidR="00E20392" w:rsidRDefault="00E20392" w:rsidP="00133525">
      <w:pPr>
        <w:pStyle w:val="Nagwek2"/>
        <w:spacing w:line="276" w:lineRule="auto"/>
        <w:jc w:val="both"/>
      </w:pPr>
      <w:r>
        <w:t>2. Hipoteza</w:t>
      </w:r>
    </w:p>
    <w:p w:rsidR="00E20392" w:rsidRDefault="00250831" w:rsidP="00133525">
      <w:pPr>
        <w:spacing w:line="276" w:lineRule="auto"/>
        <w:ind w:firstLine="567"/>
        <w:jc w:val="both"/>
      </w:pPr>
      <w:r>
        <w:t xml:space="preserve">Zarówno pochłanianie, jak i rozpraszanie promieniowania X </w:t>
      </w:r>
      <w:r w:rsidR="008C7904">
        <w:t>(</w:t>
      </w:r>
      <w:r>
        <w:t>oraz γ</w:t>
      </w:r>
      <w:r w:rsidR="008C7904">
        <w:t>)</w:t>
      </w:r>
      <w:r>
        <w:t xml:space="preserve"> następuje na elektronach zawartych w materiale pochłaniacza</w:t>
      </w:r>
      <w:r w:rsidR="0038346B">
        <w:t>.</w:t>
      </w:r>
      <w:r>
        <w:t xml:space="preserve"> Zrozumiałe jest zatem, że współczynniki </w:t>
      </w:r>
      <w:proofErr w:type="spellStart"/>
      <w:r w:rsidRPr="00250831">
        <w:rPr>
          <w:i/>
        </w:rPr>
        <w:t>μ</w:t>
      </w:r>
      <w:r w:rsidRPr="00250831">
        <w:rPr>
          <w:i/>
          <w:vertAlign w:val="subscript"/>
        </w:rPr>
        <w:t>a</w:t>
      </w:r>
      <w:proofErr w:type="spellEnd"/>
      <w:r>
        <w:t xml:space="preserve">, </w:t>
      </w:r>
      <w:proofErr w:type="spellStart"/>
      <w:r w:rsidRPr="00250831">
        <w:rPr>
          <w:i/>
        </w:rPr>
        <w:t>τ</w:t>
      </w:r>
      <w:r w:rsidRPr="00250831">
        <w:rPr>
          <w:i/>
          <w:vertAlign w:val="subscript"/>
        </w:rPr>
        <w:t>a</w:t>
      </w:r>
      <w:proofErr w:type="spellEnd"/>
      <w:r>
        <w:t xml:space="preserve"> i </w:t>
      </w:r>
      <w:proofErr w:type="spellStart"/>
      <w:r w:rsidRPr="00250831">
        <w:rPr>
          <w:i/>
        </w:rPr>
        <w:t>σ</w:t>
      </w:r>
      <w:r w:rsidRPr="00250831">
        <w:rPr>
          <w:i/>
          <w:vertAlign w:val="subscript"/>
        </w:rPr>
        <w:t>a</w:t>
      </w:r>
      <w:proofErr w:type="spellEnd"/>
      <w:r>
        <w:t xml:space="preserve"> będą zależne od średniej liczby atomowej </w:t>
      </w:r>
      <w:r w:rsidRPr="00250831">
        <w:rPr>
          <w:i/>
        </w:rPr>
        <w:t>Z</w:t>
      </w:r>
      <w:r>
        <w:t xml:space="preserve"> materiału pochłaniacza, która opisuje m.in. ile elektronów znajduje się w atomie danego pierwiastka. Nie jest to jednak prosta proporcjonalność. Teoria (której tutaj nie będziemy opisywać) przewiduje, że zależność atomowego współczynnika absorpcji od </w:t>
      </w:r>
      <w:r w:rsidRPr="00250831">
        <w:rPr>
          <w:i/>
        </w:rPr>
        <w:t>Z</w:t>
      </w:r>
      <w:r>
        <w:t xml:space="preserve"> będzie typu: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8569FE" w:rsidTr="008B286A">
        <w:trPr>
          <w:jc w:val="center"/>
        </w:trPr>
        <w:tc>
          <w:tcPr>
            <w:tcW w:w="8330" w:type="dxa"/>
          </w:tcPr>
          <w:p w:rsidR="008569FE" w:rsidRPr="00A24DEE" w:rsidRDefault="00C50D9B" w:rsidP="00250831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=const ∙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882" w:type="dxa"/>
            <w:vAlign w:val="center"/>
          </w:tcPr>
          <w:p w:rsidR="008569FE" w:rsidRDefault="008569FE" w:rsidP="00250831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</w:t>
            </w:r>
            <w:r w:rsidR="00250831">
              <w:rPr>
                <w:szCs w:val="22"/>
                <w14:ligatures w14:val="none"/>
              </w:rPr>
              <w:t>4</w:t>
            </w:r>
            <w:r>
              <w:rPr>
                <w:szCs w:val="22"/>
                <w14:ligatures w14:val="none"/>
              </w:rPr>
              <w:t>)</w:t>
            </w:r>
          </w:p>
        </w:tc>
      </w:tr>
    </w:tbl>
    <w:p w:rsidR="008569FE" w:rsidRDefault="00250831" w:rsidP="008569FE">
      <w:pPr>
        <w:spacing w:line="276" w:lineRule="auto"/>
        <w:jc w:val="both"/>
      </w:pPr>
      <w:r>
        <w:lastRenderedPageBreak/>
        <w:t xml:space="preserve">gdzie </w:t>
      </w:r>
      <w:r w:rsidRPr="00250831">
        <w:rPr>
          <w:i/>
        </w:rPr>
        <w:t>n</w:t>
      </w:r>
      <w:r>
        <w:t xml:space="preserve"> jest wykładnikiem potęgi</w:t>
      </w:r>
      <w:r w:rsidR="004D0602">
        <w:t xml:space="preserve"> i</w:t>
      </w:r>
      <w:r w:rsidR="007178ED">
        <w:t xml:space="preserve"> powinn</w:t>
      </w:r>
      <w:r w:rsidR="004D0602">
        <w:t>o</w:t>
      </w:r>
      <w:r w:rsidR="007178ED">
        <w:t xml:space="preserve"> wynosić 4. Można to zweryfikować</w:t>
      </w:r>
      <w:r>
        <w:t xml:space="preserve"> doświadczalnie</w:t>
      </w:r>
      <w:r w:rsidR="004D0602">
        <w:t xml:space="preserve"> </w:t>
      </w:r>
      <w:r w:rsidR="00AA0FF5">
        <w:t>dzięki odpowiednim przekształceniom matematycznym powyższego równania. Po zlogarytmowaniu obu stron można je przekształcić w równanie: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AA0FF5" w:rsidTr="008B286A">
        <w:trPr>
          <w:jc w:val="center"/>
        </w:trPr>
        <w:tc>
          <w:tcPr>
            <w:tcW w:w="8330" w:type="dxa"/>
          </w:tcPr>
          <w:p w:rsidR="00AA0FF5" w:rsidRPr="00A24DEE" w:rsidRDefault="00C50D9B" w:rsidP="00AA0FF5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sz w:val="22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a</m:t>
                        </m:r>
                      </m:sub>
                    </m:sSub>
                  </m:e>
                </m:func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=n∙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  <w14:ligatures w14:val="non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Z+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const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882" w:type="dxa"/>
            <w:vAlign w:val="center"/>
          </w:tcPr>
          <w:p w:rsidR="00AA0FF5" w:rsidRDefault="00AA0FF5" w:rsidP="008B286A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(5)</w:t>
            </w:r>
          </w:p>
        </w:tc>
      </w:tr>
    </w:tbl>
    <w:p w:rsidR="00AA0FF5" w:rsidRDefault="007F2322" w:rsidP="008569FE">
      <w:pPr>
        <w:spacing w:line="276" w:lineRule="auto"/>
        <w:jc w:val="both"/>
      </w:pPr>
      <w:r>
        <w:t xml:space="preserve">które jest równaniem linii prostej </w:t>
      </w:r>
      <w:r w:rsidRPr="007F2322">
        <w:rPr>
          <w:i/>
        </w:rPr>
        <w:t>y</w:t>
      </w:r>
      <w:r>
        <w:t> = </w:t>
      </w:r>
      <w:proofErr w:type="spellStart"/>
      <w:r w:rsidRPr="007F2322">
        <w:rPr>
          <w:i/>
        </w:rPr>
        <w:t>a</w:t>
      </w:r>
      <w:r>
        <w:t>·</w:t>
      </w:r>
      <w:r w:rsidRPr="007F2322">
        <w:rPr>
          <w:i/>
        </w:rPr>
        <w:t>x</w:t>
      </w:r>
      <w:proofErr w:type="spellEnd"/>
      <w:r>
        <w:t> + </w:t>
      </w:r>
      <w:r w:rsidRPr="007F2322">
        <w:rPr>
          <w:i/>
        </w:rPr>
        <w:t>b</w:t>
      </w:r>
      <w:r w:rsidR="007178ED">
        <w:t>, której</w:t>
      </w:r>
      <w:r>
        <w:t xml:space="preserve"> współczynnik nachylenia względem odpowiednio dobranych osi (</w:t>
      </w:r>
      <w:r w:rsidRPr="007F2322">
        <w:rPr>
          <w:i/>
        </w:rPr>
        <w:t>y</w:t>
      </w:r>
      <w:r>
        <w:t> = </w:t>
      </w:r>
      <w:proofErr w:type="spellStart"/>
      <w:r>
        <w:t>ln</w:t>
      </w:r>
      <w:r w:rsidRPr="007F2322">
        <w:rPr>
          <w:i/>
        </w:rPr>
        <w:t>τ</w:t>
      </w:r>
      <w:r w:rsidRPr="007F2322">
        <w:rPr>
          <w:i/>
          <w:vertAlign w:val="subscript"/>
        </w:rPr>
        <w:t>a</w:t>
      </w:r>
      <w:proofErr w:type="spellEnd"/>
      <w:r>
        <w:t xml:space="preserve">, </w:t>
      </w:r>
      <w:r w:rsidRPr="007F2322">
        <w:rPr>
          <w:i/>
        </w:rPr>
        <w:t>x</w:t>
      </w:r>
      <w:r>
        <w:t> = </w:t>
      </w:r>
      <w:proofErr w:type="spellStart"/>
      <w:r>
        <w:t>ln</w:t>
      </w:r>
      <w:r w:rsidRPr="007F2322">
        <w:rPr>
          <w:i/>
        </w:rPr>
        <w:t>Z</w:t>
      </w:r>
      <w:proofErr w:type="spellEnd"/>
      <w:r>
        <w:t xml:space="preserve">) jest równy poszukiwanemu wykładnikowi </w:t>
      </w:r>
      <w:r w:rsidRPr="007F2322">
        <w:rPr>
          <w:i/>
        </w:rPr>
        <w:t>n</w:t>
      </w:r>
      <w:r>
        <w:t>.</w:t>
      </w:r>
      <w:r w:rsidR="008C7904">
        <w:t xml:space="preserve"> Można więc wyznaczyć </w:t>
      </w:r>
      <w:r w:rsidR="008C7904" w:rsidRPr="008C7904">
        <w:rPr>
          <w:i/>
        </w:rPr>
        <w:t>n</w:t>
      </w:r>
      <w:r w:rsidR="008C7904">
        <w:t xml:space="preserve"> znając parametry materiału pochłaniacza oraz mierząc współczynnik pochłaniania </w:t>
      </w:r>
      <w:r w:rsidR="008C7904" w:rsidRPr="008C7904">
        <w:rPr>
          <w:i/>
        </w:rPr>
        <w:t>μ</w:t>
      </w:r>
      <w:r w:rsidR="008C7904">
        <w:t xml:space="preserve"> i obliczając na jego podstawie </w:t>
      </w:r>
      <w:proofErr w:type="spellStart"/>
      <w:r w:rsidR="008C7904" w:rsidRPr="008C7904">
        <w:rPr>
          <w:i/>
        </w:rPr>
        <w:t>τ</w:t>
      </w:r>
      <w:r w:rsidR="008C7904" w:rsidRPr="008C7904">
        <w:rPr>
          <w:i/>
          <w:vertAlign w:val="subscript"/>
        </w:rPr>
        <w:t>a</w:t>
      </w:r>
      <w:proofErr w:type="spellEnd"/>
      <w:r w:rsidR="008C7904">
        <w:t>. W używanym w ćwiczeniu układzie wynosi on: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8C7904" w:rsidTr="008B286A">
        <w:trPr>
          <w:jc w:val="center"/>
        </w:trPr>
        <w:tc>
          <w:tcPr>
            <w:tcW w:w="8330" w:type="dxa"/>
          </w:tcPr>
          <w:p w:rsidR="008C7904" w:rsidRPr="00C62A6B" w:rsidRDefault="00C50D9B" w:rsidP="008F31B3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sub>
                </m:sSub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μ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ρ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-0,2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2"/>
                                <w:szCs w:val="22"/>
                                <w14:ligatures w14:val="none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2"/>
                                <w:szCs w:val="22"/>
                                <w14:ligatures w14:val="none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g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A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82" w:type="dxa"/>
            <w:vAlign w:val="center"/>
          </w:tcPr>
          <w:p w:rsidR="008C7904" w:rsidRDefault="008F31B3" w:rsidP="008B286A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(6</w:t>
            </w:r>
            <w:r w:rsidR="008C7904">
              <w:rPr>
                <w:szCs w:val="22"/>
                <w14:ligatures w14:val="none"/>
              </w:rPr>
              <w:t>)</w:t>
            </w:r>
          </w:p>
        </w:tc>
      </w:tr>
    </w:tbl>
    <w:p w:rsidR="008569FE" w:rsidRPr="0038346B" w:rsidRDefault="00250831" w:rsidP="00133525">
      <w:pPr>
        <w:spacing w:line="276" w:lineRule="auto"/>
        <w:ind w:firstLine="567"/>
        <w:jc w:val="both"/>
      </w:pPr>
      <w:r>
        <w:t xml:space="preserve">Oczywiście </w:t>
      </w:r>
      <w:r w:rsidR="00AA0FF5">
        <w:t xml:space="preserve">zjawiska takie jak pochłanianie i rozpraszanie promieniowania </w:t>
      </w:r>
      <w:r w:rsidR="008C7904">
        <w:t>X</w:t>
      </w:r>
      <w:r w:rsidR="00AA0FF5">
        <w:t xml:space="preserve"> zależą również od długości fali, czyli także energii pojedynczych fotonów, ale w tym ćwiczeniu nie będziemy zajmować się tą zależnością</w:t>
      </w:r>
      <w:r w:rsidR="007F2322">
        <w:t>.</w:t>
      </w:r>
    </w:p>
    <w:p w:rsidR="00E20392" w:rsidRDefault="00A11E0B" w:rsidP="00133525">
      <w:pPr>
        <w:pStyle w:val="Nagwek1"/>
        <w:spacing w:line="276" w:lineRule="auto"/>
        <w:jc w:val="both"/>
      </w:pPr>
      <w:r>
        <w:t>3</w:t>
      </w:r>
      <w:r w:rsidR="00E20392">
        <w:t>. Przebieg doświadczenia</w:t>
      </w:r>
    </w:p>
    <w:p w:rsidR="00A82A96" w:rsidRPr="001E0292" w:rsidRDefault="00E20392" w:rsidP="00A82A96">
      <w:pPr>
        <w:pStyle w:val="Nagwek3"/>
      </w:pPr>
      <w:r w:rsidRPr="00DF190C">
        <w:rPr>
          <w:b/>
        </w:rPr>
        <w:t>A)</w:t>
      </w:r>
      <w:r>
        <w:t xml:space="preserve"> </w:t>
      </w:r>
      <w:r w:rsidR="00A82A96">
        <w:t xml:space="preserve">Włączyć urządzenie pomiarowe X-Ray </w:t>
      </w:r>
      <w:proofErr w:type="spellStart"/>
      <w:r w:rsidR="00A82A96">
        <w:t>Apparatus</w:t>
      </w:r>
      <w:proofErr w:type="spellEnd"/>
      <w:r w:rsidR="00A82A96">
        <w:t xml:space="preserve"> w konfiguracji z monokryształem NaCl.</w:t>
      </w:r>
    </w:p>
    <w:p w:rsidR="00E20392" w:rsidRDefault="006C557C" w:rsidP="00A82A96">
      <w:pPr>
        <w:pStyle w:val="Nagwek3"/>
      </w:pPr>
      <w:r>
        <w:rPr>
          <w:b/>
        </w:rPr>
        <w:t>B</w:t>
      </w:r>
      <w:r w:rsidR="00A82A96" w:rsidRPr="00A82A96">
        <w:rPr>
          <w:b/>
        </w:rPr>
        <w:t>)</w:t>
      </w:r>
      <w:r w:rsidR="00A82A96">
        <w:t xml:space="preserve"> Ustawić parametry pracy: U </w:t>
      </w:r>
      <w:r w:rsidR="00A82A96" w:rsidRPr="00A82A96">
        <w:t>=</w:t>
      </w:r>
      <w:r w:rsidR="00A82A96">
        <w:t> 35,0 </w:t>
      </w:r>
      <w:proofErr w:type="spellStart"/>
      <w:r w:rsidR="00A82A96">
        <w:t>kV</w:t>
      </w:r>
      <w:proofErr w:type="spellEnd"/>
      <w:r w:rsidR="00A82A96">
        <w:t>, I = 0,60 </w:t>
      </w:r>
      <w:proofErr w:type="spellStart"/>
      <w:r w:rsidR="00A82A96">
        <w:t>mA</w:t>
      </w:r>
      <w:proofErr w:type="spellEnd"/>
      <w:r w:rsidR="00A82A96">
        <w:t>, Δβ = 0,0</w:t>
      </w:r>
      <w:r w:rsidR="00A82A96">
        <w:rPr>
          <w:rFonts w:cstheme="minorHAnsi"/>
        </w:rPr>
        <w:t>°</w:t>
      </w:r>
      <w:r w:rsidR="008F31B3">
        <w:t xml:space="preserve"> oraz </w:t>
      </w:r>
      <w:proofErr w:type="spellStart"/>
      <w:r w:rsidR="008F31B3">
        <w:t>Δt</w:t>
      </w:r>
      <w:proofErr w:type="spellEnd"/>
      <w:r w:rsidR="008F31B3">
        <w:t> = 5</w:t>
      </w:r>
      <w:r w:rsidR="00A82A96">
        <w:t>0 </w:t>
      </w:r>
      <w:r w:rsidR="00A82A96" w:rsidRPr="00A82A96">
        <w:t xml:space="preserve">s. Nacisnąć przycisk </w:t>
      </w:r>
      <w:proofErr w:type="spellStart"/>
      <w:r w:rsidR="00A82A96" w:rsidRPr="00A82A96">
        <w:t>COUPLED</w:t>
      </w:r>
      <w:proofErr w:type="spellEnd"/>
      <w:r w:rsidR="00A82A96" w:rsidRPr="00A82A96">
        <w:t xml:space="preserve"> i ustawić kąt β na 4,1</w:t>
      </w:r>
      <w:r w:rsidR="00A82A96">
        <w:rPr>
          <w:rFonts w:cstheme="minorHAnsi"/>
        </w:rPr>
        <w:t>°</w:t>
      </w:r>
      <w:r w:rsidR="00A82A96">
        <w:t xml:space="preserve"> (ta wartość kąta pozwala ominąć zjawiska związane z tzw. </w:t>
      </w:r>
      <w:r w:rsidR="00A82A96" w:rsidRPr="00A82A96">
        <w:rPr>
          <w:i/>
        </w:rPr>
        <w:t>krawędzią absorpcji</w:t>
      </w:r>
      <w:r w:rsidR="00A82A96">
        <w:t>).</w:t>
      </w:r>
    </w:p>
    <w:p w:rsidR="00A82A96" w:rsidRDefault="006C557C" w:rsidP="00A82A96">
      <w:pPr>
        <w:pStyle w:val="Nagwek3"/>
      </w:pPr>
      <w:r>
        <w:rPr>
          <w:b/>
        </w:rPr>
        <w:t>C</w:t>
      </w:r>
      <w:r w:rsidR="00133525">
        <w:rPr>
          <w:b/>
        </w:rPr>
        <w:t>)</w:t>
      </w:r>
      <w:r w:rsidR="00133525">
        <w:t xml:space="preserve"> </w:t>
      </w:r>
      <w:r w:rsidR="00A82A96" w:rsidRPr="002527CF">
        <w:t>Uruchomić pomiar przyciskiem SCAN</w:t>
      </w:r>
      <w:r w:rsidR="00A82A96">
        <w:t>, a po jego zakończeniu nacisnąć przycisk REPLAY i z wyświetlacza na urządzeniu odczytać wartość średnią natężenia promieniowania. Odczytaną wartość zapisać w odpowiednim miejscu tabeli 1.</w:t>
      </w:r>
    </w:p>
    <w:p w:rsidR="00133525" w:rsidRDefault="006C557C" w:rsidP="00A82A96">
      <w:pPr>
        <w:pStyle w:val="Nagwek3"/>
        <w:rPr>
          <w:rFonts w:cstheme="minorHAnsi"/>
          <w:szCs w:val="22"/>
          <w14:ligatures w14:val="none"/>
        </w:rPr>
      </w:pPr>
      <w:r>
        <w:rPr>
          <w:rFonts w:cstheme="minorHAnsi"/>
          <w:b/>
          <w:szCs w:val="22"/>
          <w14:ligatures w14:val="none"/>
        </w:rPr>
        <w:t>D</w:t>
      </w:r>
      <w:r w:rsidR="00A82A96" w:rsidRPr="00A82A96">
        <w:rPr>
          <w:rFonts w:cstheme="minorHAnsi"/>
          <w:b/>
          <w:szCs w:val="22"/>
          <w14:ligatures w14:val="none"/>
        </w:rPr>
        <w:t>)</w:t>
      </w:r>
      <w:r w:rsidR="00A82A96">
        <w:rPr>
          <w:rFonts w:cstheme="minorHAnsi"/>
          <w:szCs w:val="22"/>
          <w14:ligatures w14:val="none"/>
        </w:rPr>
        <w:t xml:space="preserve"> </w:t>
      </w:r>
      <w:r w:rsidR="00A82A96" w:rsidRPr="002527CF">
        <w:rPr>
          <w:rFonts w:cstheme="minorHAnsi"/>
          <w:szCs w:val="22"/>
          <w14:ligatures w14:val="none"/>
        </w:rPr>
        <w:t xml:space="preserve">Zamontować </w:t>
      </w:r>
      <w:r w:rsidR="00A82A96">
        <w:rPr>
          <w:rFonts w:cstheme="minorHAnsi"/>
          <w:szCs w:val="22"/>
          <w14:ligatures w14:val="none"/>
        </w:rPr>
        <w:t>jeden z absorbentów</w:t>
      </w:r>
      <w:r w:rsidR="00A82A96" w:rsidRPr="002527CF">
        <w:rPr>
          <w:rFonts w:cstheme="minorHAnsi"/>
          <w:szCs w:val="22"/>
          <w14:ligatures w14:val="none"/>
        </w:rPr>
        <w:t xml:space="preserve"> przed detektorem</w:t>
      </w:r>
      <w:r w:rsidR="00A82A96">
        <w:rPr>
          <w:rFonts w:cstheme="minorHAnsi"/>
          <w:szCs w:val="22"/>
          <w14:ligatures w14:val="none"/>
        </w:rPr>
        <w:t xml:space="preserve"> i ponownie uruchomić pomiar</w:t>
      </w:r>
      <w:r w:rsidR="00A82A96" w:rsidRPr="002527CF">
        <w:rPr>
          <w:rFonts w:cstheme="minorHAnsi"/>
          <w:szCs w:val="22"/>
          <w14:ligatures w14:val="none"/>
        </w:rPr>
        <w:t xml:space="preserve">. Po skończonym pomiarze </w:t>
      </w:r>
      <w:r w:rsidR="00A82A96">
        <w:rPr>
          <w:rFonts w:cstheme="minorHAnsi"/>
          <w:szCs w:val="22"/>
          <w14:ligatures w14:val="none"/>
        </w:rPr>
        <w:t>odczytać wynik i wpisać w wierszu tabeli odpowiadający danemu absorbentowi.</w:t>
      </w:r>
    </w:p>
    <w:p w:rsidR="00A82A96" w:rsidRDefault="006C557C" w:rsidP="00A82A96">
      <w:pPr>
        <w:pStyle w:val="Nagwek3"/>
      </w:pPr>
      <w:r w:rsidRPr="008F31B3">
        <w:rPr>
          <w:b/>
        </w:rPr>
        <w:t>E</w:t>
      </w:r>
      <w:r w:rsidR="00A82A96" w:rsidRPr="008F31B3">
        <w:rPr>
          <w:b/>
        </w:rPr>
        <w:t>)</w:t>
      </w:r>
      <w:r w:rsidR="00A82A96">
        <w:t xml:space="preserve"> </w:t>
      </w:r>
      <w:r w:rsidR="008F31B3">
        <w:t>Powtórzyć pomiary dla pozostałych absorbentów.</w:t>
      </w:r>
    </w:p>
    <w:p w:rsidR="008F31B3" w:rsidRDefault="008F31B3" w:rsidP="008F31B3">
      <w:pPr>
        <w:pStyle w:val="Nagwek3"/>
      </w:pPr>
      <w:r w:rsidRPr="008F31B3">
        <w:rPr>
          <w:b/>
        </w:rPr>
        <w:t>F)</w:t>
      </w:r>
      <w:r>
        <w:t xml:space="preserve"> Po zakończonych pomiarach uzupełnić tabelę </w:t>
      </w:r>
      <w:r w:rsidR="00675669">
        <w:t xml:space="preserve">1 </w:t>
      </w:r>
      <w:r>
        <w:t xml:space="preserve">o obliczone wartości </w:t>
      </w:r>
      <w:r w:rsidRPr="008F31B3">
        <w:rPr>
          <w:rFonts w:cstheme="minorHAnsi"/>
          <w:i/>
        </w:rPr>
        <w:t>μ</w:t>
      </w:r>
      <w:r>
        <w:t xml:space="preserve"> i </w:t>
      </w:r>
      <w:proofErr w:type="spellStart"/>
      <w:r w:rsidRPr="008F31B3">
        <w:rPr>
          <w:rFonts w:cstheme="minorHAnsi"/>
          <w:i/>
        </w:rPr>
        <w:t>τ</w:t>
      </w:r>
      <w:r w:rsidRPr="008F31B3">
        <w:rPr>
          <w:i/>
          <w:vertAlign w:val="subscript"/>
        </w:rPr>
        <w:t>a</w:t>
      </w:r>
      <w:proofErr w:type="spellEnd"/>
      <w:r>
        <w:t xml:space="preserve"> obliczone na podstawie wzorów (2) i (6).</w:t>
      </w:r>
    </w:p>
    <w:p w:rsidR="00675669" w:rsidRDefault="00675669" w:rsidP="00675669">
      <w:pPr>
        <w:pStyle w:val="Nagwek3"/>
      </w:pPr>
      <w:r w:rsidRPr="00675669">
        <w:rPr>
          <w:b/>
        </w:rPr>
        <w:t>G)</w:t>
      </w:r>
      <w:r>
        <w:t xml:space="preserve"> Uzupełnić w tabeli 1 kolumny </w:t>
      </w:r>
      <w:r w:rsidRPr="00675669">
        <w:rPr>
          <w:i/>
        </w:rPr>
        <w:t>x</w:t>
      </w:r>
      <w:r>
        <w:t xml:space="preserve"> i </w:t>
      </w:r>
      <w:r w:rsidRPr="00675669">
        <w:rPr>
          <w:i/>
        </w:rPr>
        <w:t>y</w:t>
      </w:r>
      <w:r>
        <w:t xml:space="preserve">, a następnie wykonać wykres zależności </w:t>
      </w:r>
      <w:r w:rsidRPr="00675669">
        <w:rPr>
          <w:i/>
        </w:rPr>
        <w:t>y</w:t>
      </w:r>
      <w:r>
        <w:t xml:space="preserve"> od </w:t>
      </w:r>
      <w:r w:rsidRPr="00675669">
        <w:rPr>
          <w:i/>
        </w:rPr>
        <w:t>x</w:t>
      </w:r>
      <w:r>
        <w:t>. Czy punkty układają się wzdłuż linii prostej?</w:t>
      </w:r>
    </w:p>
    <w:p w:rsidR="00675669" w:rsidRDefault="007178ED" w:rsidP="00675669">
      <w:pPr>
        <w:pStyle w:val="Nagwek3"/>
      </w:pPr>
      <w:r w:rsidRPr="007178ED">
        <w:rPr>
          <w:b/>
        </w:rPr>
        <w:t>H)</w:t>
      </w:r>
      <w:r>
        <w:t xml:space="preserve"> Do danych z kolumn </w:t>
      </w:r>
      <w:r w:rsidRPr="00675669">
        <w:rPr>
          <w:i/>
        </w:rPr>
        <w:t>x</w:t>
      </w:r>
      <w:r>
        <w:t xml:space="preserve"> i </w:t>
      </w:r>
      <w:r w:rsidRPr="00675669">
        <w:rPr>
          <w:i/>
        </w:rPr>
        <w:t>y</w:t>
      </w:r>
      <w:r>
        <w:t xml:space="preserve"> dopasować (graficznie lub numerycznie) linię prostą oraz wyznaczyć jej współczynnik nachylenia </w:t>
      </w:r>
      <w:r w:rsidRPr="007178ED">
        <w:rPr>
          <w:i/>
        </w:rPr>
        <w:t>a</w:t>
      </w:r>
      <w:r>
        <w:t>. Czy zgadza się on z teoretyczną wartością</w:t>
      </w:r>
      <w:r w:rsidR="00D6459B">
        <w:t xml:space="preserve"> </w:t>
      </w:r>
      <w:r w:rsidR="00D6459B" w:rsidRPr="00D6459B">
        <w:rPr>
          <w:i/>
        </w:rPr>
        <w:t>n</w:t>
      </w:r>
      <w:r>
        <w:t xml:space="preserve"> równą 4?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95"/>
        <w:gridCol w:w="506"/>
        <w:gridCol w:w="1134"/>
        <w:gridCol w:w="1134"/>
        <w:gridCol w:w="850"/>
        <w:gridCol w:w="919"/>
        <w:gridCol w:w="992"/>
        <w:gridCol w:w="1066"/>
        <w:gridCol w:w="992"/>
        <w:gridCol w:w="992"/>
      </w:tblGrid>
      <w:tr w:rsidR="00584DC1" w:rsidRPr="00584DC1" w:rsidTr="00584DC1">
        <w:trPr>
          <w:trHeight w:val="397"/>
        </w:trPr>
        <w:tc>
          <w:tcPr>
            <w:tcW w:w="5138" w:type="dxa"/>
            <w:gridSpan w:val="6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Tabela 1</w:t>
            </w:r>
          </w:p>
        </w:tc>
        <w:tc>
          <w:tcPr>
            <w:tcW w:w="4042" w:type="dxa"/>
            <w:gridSpan w:val="4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</w:pPr>
            <w:proofErr w:type="spellStart"/>
            <w:r w:rsidRPr="00584DC1"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  <w:t>R</w:t>
            </w:r>
            <w:r w:rsidRPr="00222665">
              <w:rPr>
                <w:rFonts w:asciiTheme="minorHAnsi" w:hAnsiTheme="minorHAnsi" w:cstheme="minorHAnsi"/>
                <w:szCs w:val="22"/>
                <w:vertAlign w:val="subscript"/>
                <w:lang w:val="en-GB"/>
                <w14:ligatures w14:val="none"/>
              </w:rPr>
              <w:t>0</w:t>
            </w:r>
            <w:proofErr w:type="spellEnd"/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 xml:space="preserve"> = .........</w:t>
            </w:r>
            <w:r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.........</w:t>
            </w: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 xml:space="preserve"> 1/s</w:t>
            </w:r>
          </w:p>
        </w:tc>
      </w:tr>
      <w:tr w:rsidR="00584DC1" w:rsidRPr="00584DC1" w:rsidTr="00584DC1">
        <w:trPr>
          <w:trHeight w:val="397"/>
        </w:trPr>
        <w:tc>
          <w:tcPr>
            <w:tcW w:w="595" w:type="dxa"/>
            <w:tcBorders>
              <w:tl2br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  <w:t>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  <w:t>A</w:t>
            </w: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 xml:space="preserve"> [g/</w:t>
            </w:r>
            <w:proofErr w:type="spellStart"/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mol</w:t>
            </w:r>
            <w:proofErr w:type="spellEnd"/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E47533">
              <w:rPr>
                <w:rFonts w:asciiTheme="minorHAnsi" w:hAnsiTheme="minorHAnsi" w:cstheme="minorHAnsi"/>
                <w:i/>
                <w:szCs w:val="22"/>
                <w14:ligatures w14:val="none"/>
              </w:rPr>
              <w:t>ρ</w:t>
            </w: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 xml:space="preserve"> [g/</w:t>
            </w:r>
            <w:proofErr w:type="spellStart"/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cm</w:t>
            </w:r>
            <w:r w:rsidRPr="00584DC1">
              <w:rPr>
                <w:rFonts w:asciiTheme="minorHAnsi" w:hAnsiTheme="minorHAnsi" w:cstheme="minorHAnsi"/>
                <w:szCs w:val="22"/>
                <w:vertAlign w:val="superscript"/>
                <w:lang w:val="en-GB"/>
                <w14:ligatures w14:val="none"/>
              </w:rPr>
              <w:t>3</w:t>
            </w:r>
            <w:proofErr w:type="spellEnd"/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84DC1" w:rsidRPr="00584DC1" w:rsidRDefault="00634BD7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634BD7"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  <w:t>d</w:t>
            </w:r>
            <w:r w:rsidR="00584DC1"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 xml:space="preserve"> [cm]</w:t>
            </w:r>
          </w:p>
        </w:tc>
        <w:tc>
          <w:tcPr>
            <w:tcW w:w="919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  <w:t>R</w:t>
            </w:r>
            <w:r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 xml:space="preserve"> [1/s]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84DC1" w:rsidRPr="00584DC1" w:rsidRDefault="0073717D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i/>
                <w:szCs w:val="22"/>
                <w:lang w:val="en-GB"/>
                <w14:ligatures w14:val="none"/>
              </w:rPr>
            </w:pPr>
            <w:r w:rsidRPr="00250831">
              <w:rPr>
                <w:i/>
              </w:rPr>
              <w:t>μ</w:t>
            </w:r>
            <w:bookmarkStart w:id="0" w:name="_GoBack"/>
            <w:bookmarkEnd w:id="0"/>
          </w:p>
        </w:tc>
        <w:tc>
          <w:tcPr>
            <w:tcW w:w="1066" w:type="dxa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i/>
                <w:szCs w:val="22"/>
                <w:vertAlign w:val="subscript"/>
                <w:lang w:val="en-GB"/>
                <w14:ligatures w14:val="none"/>
              </w:rPr>
            </w:pPr>
            <w:r w:rsidRPr="00E47533">
              <w:rPr>
                <w:rFonts w:asciiTheme="minorHAnsi" w:hAnsiTheme="minorHAnsi" w:cstheme="minorHAnsi"/>
                <w:i/>
                <w:szCs w:val="22"/>
                <w14:ligatures w14:val="none"/>
              </w:rPr>
              <w:t>τ</w:t>
            </w:r>
            <w:r w:rsidRPr="00E47533">
              <w:rPr>
                <w:rFonts w:asciiTheme="minorHAnsi" w:hAnsiTheme="minorHAnsi" w:cstheme="minorHAnsi"/>
                <w:i/>
                <w:szCs w:val="22"/>
                <w:vertAlign w:val="subscript"/>
                <w14:ligatures w14:val="none"/>
              </w:rPr>
              <w:t>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i/>
                <w:szCs w:val="22"/>
                <w14:ligatures w14:val="none"/>
              </w:rPr>
            </w:pPr>
            <w:r w:rsidRPr="00584DC1">
              <w:rPr>
                <w:rFonts w:asciiTheme="minorHAnsi" w:hAnsiTheme="minorHAnsi" w:cstheme="minorHAnsi"/>
                <w:i/>
                <w:szCs w:val="22"/>
                <w14:ligatures w14:val="none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i/>
                <w:szCs w:val="22"/>
                <w14:ligatures w14:val="none"/>
              </w:rPr>
            </w:pPr>
            <w:r w:rsidRPr="00584DC1">
              <w:rPr>
                <w:rFonts w:asciiTheme="minorHAnsi" w:hAnsiTheme="minorHAnsi" w:cstheme="minorHAnsi"/>
                <w:i/>
                <w:szCs w:val="22"/>
                <w14:ligatures w14:val="none"/>
              </w:rPr>
              <w:t>y</w:t>
            </w:r>
          </w:p>
        </w:tc>
      </w:tr>
      <w:tr w:rsidR="00584DC1" w:rsidRPr="00584DC1" w:rsidTr="00584DC1">
        <w:trPr>
          <w:trHeight w:val="397"/>
        </w:trPr>
        <w:tc>
          <w:tcPr>
            <w:tcW w:w="595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Al</w:t>
            </w:r>
          </w:p>
        </w:tc>
        <w:tc>
          <w:tcPr>
            <w:tcW w:w="506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13</w:t>
            </w:r>
          </w:p>
        </w:tc>
        <w:tc>
          <w:tcPr>
            <w:tcW w:w="1134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26,98</w:t>
            </w:r>
          </w:p>
        </w:tc>
        <w:tc>
          <w:tcPr>
            <w:tcW w:w="1134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2,70</w:t>
            </w:r>
          </w:p>
        </w:tc>
        <w:tc>
          <w:tcPr>
            <w:tcW w:w="850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0,050</w:t>
            </w:r>
          </w:p>
        </w:tc>
        <w:tc>
          <w:tcPr>
            <w:tcW w:w="919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1066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</w:tr>
      <w:tr w:rsidR="00584DC1" w:rsidRPr="00584DC1" w:rsidTr="00584DC1">
        <w:trPr>
          <w:trHeight w:val="397"/>
        </w:trPr>
        <w:tc>
          <w:tcPr>
            <w:tcW w:w="595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Fe</w:t>
            </w:r>
          </w:p>
        </w:tc>
        <w:tc>
          <w:tcPr>
            <w:tcW w:w="506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26</w:t>
            </w:r>
          </w:p>
        </w:tc>
        <w:tc>
          <w:tcPr>
            <w:tcW w:w="1134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55,85</w:t>
            </w:r>
          </w:p>
        </w:tc>
        <w:tc>
          <w:tcPr>
            <w:tcW w:w="1134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7,86</w:t>
            </w:r>
          </w:p>
        </w:tc>
        <w:tc>
          <w:tcPr>
            <w:tcW w:w="850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0,050</w:t>
            </w:r>
          </w:p>
        </w:tc>
        <w:tc>
          <w:tcPr>
            <w:tcW w:w="919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1066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</w:tr>
      <w:tr w:rsidR="00584DC1" w:rsidRPr="00584DC1" w:rsidTr="00584DC1">
        <w:trPr>
          <w:trHeight w:val="397"/>
        </w:trPr>
        <w:tc>
          <w:tcPr>
            <w:tcW w:w="595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Cu</w:t>
            </w:r>
          </w:p>
        </w:tc>
        <w:tc>
          <w:tcPr>
            <w:tcW w:w="506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29</w:t>
            </w:r>
          </w:p>
        </w:tc>
        <w:tc>
          <w:tcPr>
            <w:tcW w:w="1134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63,55</w:t>
            </w:r>
          </w:p>
        </w:tc>
        <w:tc>
          <w:tcPr>
            <w:tcW w:w="1134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8,92</w:t>
            </w:r>
          </w:p>
        </w:tc>
        <w:tc>
          <w:tcPr>
            <w:tcW w:w="850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  <w:r w:rsidRPr="00584DC1"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  <w:t>0,007</w:t>
            </w:r>
          </w:p>
        </w:tc>
        <w:tc>
          <w:tcPr>
            <w:tcW w:w="919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1066" w:type="dxa"/>
            <w:vAlign w:val="bottom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  <w:tc>
          <w:tcPr>
            <w:tcW w:w="992" w:type="dxa"/>
          </w:tcPr>
          <w:p w:rsidR="00584DC1" w:rsidRP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val="en-GB"/>
                <w14:ligatures w14:val="none"/>
              </w:rPr>
            </w:pPr>
          </w:p>
        </w:tc>
      </w:tr>
      <w:tr w:rsidR="00584DC1" w:rsidTr="00584DC1">
        <w:trPr>
          <w:trHeight w:val="397"/>
        </w:trPr>
        <w:tc>
          <w:tcPr>
            <w:tcW w:w="595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Zr</w:t>
            </w:r>
          </w:p>
        </w:tc>
        <w:tc>
          <w:tcPr>
            <w:tcW w:w="506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40</w:t>
            </w:r>
          </w:p>
        </w:tc>
        <w:tc>
          <w:tcPr>
            <w:tcW w:w="1134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91,22</w:t>
            </w:r>
          </w:p>
        </w:tc>
        <w:tc>
          <w:tcPr>
            <w:tcW w:w="1134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6,49</w:t>
            </w:r>
          </w:p>
        </w:tc>
        <w:tc>
          <w:tcPr>
            <w:tcW w:w="850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0,005</w:t>
            </w:r>
          </w:p>
        </w:tc>
        <w:tc>
          <w:tcPr>
            <w:tcW w:w="919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992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1066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</w:tr>
      <w:tr w:rsidR="00584DC1" w:rsidTr="00584DC1">
        <w:trPr>
          <w:trHeight w:val="397"/>
        </w:trPr>
        <w:tc>
          <w:tcPr>
            <w:tcW w:w="595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Ag</w:t>
            </w:r>
          </w:p>
        </w:tc>
        <w:tc>
          <w:tcPr>
            <w:tcW w:w="506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47</w:t>
            </w:r>
          </w:p>
        </w:tc>
        <w:tc>
          <w:tcPr>
            <w:tcW w:w="1134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107,87</w:t>
            </w:r>
          </w:p>
        </w:tc>
        <w:tc>
          <w:tcPr>
            <w:tcW w:w="1134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10,50</w:t>
            </w:r>
          </w:p>
        </w:tc>
        <w:tc>
          <w:tcPr>
            <w:tcW w:w="850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Cs w:val="22"/>
                <w14:ligatures w14:val="none"/>
              </w:rPr>
              <w:t>0,005</w:t>
            </w:r>
          </w:p>
        </w:tc>
        <w:tc>
          <w:tcPr>
            <w:tcW w:w="919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992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1066" w:type="dxa"/>
            <w:vAlign w:val="bottom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:rsidR="00584DC1" w:rsidRDefault="00584DC1" w:rsidP="00584DC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Cs w:val="22"/>
                <w14:ligatures w14:val="none"/>
              </w:rPr>
            </w:pPr>
          </w:p>
        </w:tc>
      </w:tr>
    </w:tbl>
    <w:p w:rsidR="004D0602" w:rsidRPr="004D0602" w:rsidRDefault="004D0602" w:rsidP="004D0602"/>
    <w:sectPr w:rsidR="004D0602" w:rsidRPr="004D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9B" w:rsidRDefault="00C50D9B" w:rsidP="00C25A16">
      <w:r>
        <w:separator/>
      </w:r>
    </w:p>
  </w:endnote>
  <w:endnote w:type="continuationSeparator" w:id="0">
    <w:p w:rsidR="00C50D9B" w:rsidRDefault="00C50D9B" w:rsidP="00C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9B" w:rsidRDefault="00C50D9B" w:rsidP="00C25A16">
      <w:r>
        <w:separator/>
      </w:r>
    </w:p>
  </w:footnote>
  <w:footnote w:type="continuationSeparator" w:id="0">
    <w:p w:rsidR="00C50D9B" w:rsidRDefault="00C50D9B" w:rsidP="00C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0FD"/>
    <w:multiLevelType w:val="hybridMultilevel"/>
    <w:tmpl w:val="371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F74"/>
    <w:multiLevelType w:val="hybridMultilevel"/>
    <w:tmpl w:val="23FE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4"/>
    <w:rsid w:val="000635BD"/>
    <w:rsid w:val="00064A59"/>
    <w:rsid w:val="000F14BB"/>
    <w:rsid w:val="00102F62"/>
    <w:rsid w:val="0012016D"/>
    <w:rsid w:val="00133525"/>
    <w:rsid w:val="001F4CA0"/>
    <w:rsid w:val="00222665"/>
    <w:rsid w:val="002253B8"/>
    <w:rsid w:val="002471D4"/>
    <w:rsid w:val="00250831"/>
    <w:rsid w:val="00254E91"/>
    <w:rsid w:val="002968C8"/>
    <w:rsid w:val="002D6CCF"/>
    <w:rsid w:val="0038346B"/>
    <w:rsid w:val="0043704B"/>
    <w:rsid w:val="004A2164"/>
    <w:rsid w:val="004D0602"/>
    <w:rsid w:val="0055141C"/>
    <w:rsid w:val="005800AD"/>
    <w:rsid w:val="00584DC1"/>
    <w:rsid w:val="00590190"/>
    <w:rsid w:val="006209EB"/>
    <w:rsid w:val="00634BD7"/>
    <w:rsid w:val="006440E3"/>
    <w:rsid w:val="00661EC0"/>
    <w:rsid w:val="00675669"/>
    <w:rsid w:val="00692737"/>
    <w:rsid w:val="006A4C19"/>
    <w:rsid w:val="006C557C"/>
    <w:rsid w:val="007178ED"/>
    <w:rsid w:val="0073717D"/>
    <w:rsid w:val="007E100A"/>
    <w:rsid w:val="007F2322"/>
    <w:rsid w:val="008272EC"/>
    <w:rsid w:val="0084084F"/>
    <w:rsid w:val="008569FE"/>
    <w:rsid w:val="0086056B"/>
    <w:rsid w:val="008C7904"/>
    <w:rsid w:val="008F31B3"/>
    <w:rsid w:val="0090335A"/>
    <w:rsid w:val="009E6F2D"/>
    <w:rsid w:val="00A01728"/>
    <w:rsid w:val="00A0367C"/>
    <w:rsid w:val="00A11E0B"/>
    <w:rsid w:val="00A15BC9"/>
    <w:rsid w:val="00A82A96"/>
    <w:rsid w:val="00AA0FF5"/>
    <w:rsid w:val="00AC2E70"/>
    <w:rsid w:val="00AF4F78"/>
    <w:rsid w:val="00BA02C0"/>
    <w:rsid w:val="00BF3E49"/>
    <w:rsid w:val="00C25A16"/>
    <w:rsid w:val="00C50D9B"/>
    <w:rsid w:val="00CA6BCD"/>
    <w:rsid w:val="00D036C1"/>
    <w:rsid w:val="00D6459B"/>
    <w:rsid w:val="00D83B52"/>
    <w:rsid w:val="00DA3964"/>
    <w:rsid w:val="00DC4939"/>
    <w:rsid w:val="00DF190C"/>
    <w:rsid w:val="00E20392"/>
    <w:rsid w:val="00E2394D"/>
    <w:rsid w:val="00E3360A"/>
    <w:rsid w:val="00EC0111"/>
    <w:rsid w:val="00EE2373"/>
    <w:rsid w:val="00EF374F"/>
    <w:rsid w:val="00F43FF5"/>
    <w:rsid w:val="00FA39DA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EE237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EE237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ytu">
    <w:name w:val="Title"/>
    <w:link w:val="TytuZnak"/>
    <w:uiPriority w:val="10"/>
    <w:qFormat/>
    <w:rsid w:val="00A0367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A0367C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EE237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EE237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ytu">
    <w:name w:val="Title"/>
    <w:link w:val="TytuZnak"/>
    <w:uiPriority w:val="10"/>
    <w:qFormat/>
    <w:rsid w:val="00A0367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A0367C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14</cp:revision>
  <cp:lastPrinted>2018-09-27T10:27:00Z</cp:lastPrinted>
  <dcterms:created xsi:type="dcterms:W3CDTF">2018-08-03T11:34:00Z</dcterms:created>
  <dcterms:modified xsi:type="dcterms:W3CDTF">2018-09-27T10:50:00Z</dcterms:modified>
</cp:coreProperties>
</file>